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93" w:type="dxa"/>
        <w:tblLook w:val="00A0"/>
      </w:tblPr>
      <w:tblGrid>
        <w:gridCol w:w="660"/>
        <w:gridCol w:w="4000"/>
        <w:gridCol w:w="3980"/>
        <w:gridCol w:w="2420"/>
        <w:gridCol w:w="2380"/>
        <w:gridCol w:w="2020"/>
      </w:tblGrid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ПРОТОКОЛ № 21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организации: 59. Муниципальное бюджетное дошкольное образовательное учреждение Петрозаводского городского округа «Детский сад комбинированного вида № 54 «Подснежник»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Регион: Республика Карелия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Адрес: г. Петрозаводск, пр. Октябрьский, д. 8В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Ф.И.О. руководителя: Старшов Сергей Викторович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Контактный телефон: 8(8142)70-19-47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Организация-оператор: Общество с ограниченной ответственностью </w:t>
            </w:r>
            <w:bookmarkStart w:id="0" w:name="_GoBack"/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ИЦ "НОВИ" </w:t>
            </w:r>
            <w:bookmarkEnd w:id="0"/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(ООО ИЦ "НОВИ")</w:t>
            </w:r>
          </w:p>
        </w:tc>
      </w:tr>
      <w:tr w:rsidR="00B216E3" w:rsidRPr="00C35C2B" w:rsidTr="00254AF5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216E3" w:rsidRPr="00C35C2B" w:rsidTr="00254AF5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B216E3" w:rsidRPr="00C35C2B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B216E3" w:rsidRPr="00C35C2B" w:rsidTr="00254AF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6E3" w:rsidRPr="00C35C2B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99,38 баллов</w:t>
            </w:r>
          </w:p>
        </w:tc>
      </w:tr>
      <w:tr w:rsidR="00B216E3" w:rsidRPr="00C35C2B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B216E3" w:rsidRPr="00C35C2B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C35C2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6E3" w:rsidRPr="00C35C2B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99,07 баллов</w:t>
            </w:r>
          </w:p>
        </w:tc>
      </w:tr>
      <w:tr w:rsidR="00B216E3" w:rsidRPr="00C35C2B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96,44 баллов</w:t>
            </w:r>
          </w:p>
        </w:tc>
      </w:tr>
      <w:tr w:rsidR="00B216E3" w:rsidRPr="00C35C2B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B216E3" w:rsidRPr="00C35C2B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6E3" w:rsidRPr="00C35C2B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B216E3" w:rsidRPr="00C35C2B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6E3" w:rsidRPr="00C35C2B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6E3" w:rsidRPr="00C35C2B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6E3" w:rsidRPr="00C35C2B" w:rsidTr="00254AF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6E3" w:rsidRPr="00C35C2B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95,8 баллов</w:t>
            </w:r>
          </w:p>
        </w:tc>
      </w:tr>
      <w:tr w:rsidR="00B216E3" w:rsidRPr="00C35C2B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97,9 баллов</w:t>
            </w:r>
          </w:p>
        </w:tc>
      </w:tr>
      <w:tr w:rsidR="00B216E3" w:rsidRPr="00C35C2B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B216E3" w:rsidRPr="00C35C2B" w:rsidTr="00254AF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6E3" w:rsidRPr="00C35C2B" w:rsidTr="00254AF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6E3" w:rsidRPr="00C35C2B" w:rsidTr="00254AF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B216E3" w:rsidRPr="00C35C2B" w:rsidTr="00254AF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6E3" w:rsidRPr="00C35C2B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B216E3" w:rsidRPr="00C35C2B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B216E3" w:rsidRPr="00C35C2B" w:rsidTr="00254AF5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баллов</w:t>
            </w:r>
          </w:p>
        </w:tc>
      </w:tr>
      <w:tr w:rsidR="00B216E3" w:rsidRPr="00C35C2B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B216E3" w:rsidRPr="00C35C2B" w:rsidTr="00254AF5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6E3" w:rsidRPr="00C35C2B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B216E3" w:rsidRPr="00C35C2B" w:rsidTr="00254AF5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6E3" w:rsidRPr="00C35C2B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6E3" w:rsidRPr="00C35C2B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99,16 баллов</w:t>
            </w:r>
          </w:p>
        </w:tc>
      </w:tr>
      <w:tr w:rsidR="00B216E3" w:rsidRPr="00C35C2B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B216E3" w:rsidRPr="00C35C2B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99,66 баллов</w:t>
            </w:r>
          </w:p>
        </w:tc>
      </w:tr>
      <w:tr w:rsidR="00B216E3" w:rsidRPr="00C35C2B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B216E3" w:rsidRPr="00C35C2B" w:rsidTr="00254AF5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6E3" w:rsidRPr="00C35C2B" w:rsidTr="00254AF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98,32 баллов</w:t>
            </w:r>
          </w:p>
        </w:tc>
      </w:tr>
      <w:tr w:rsidR="00B216E3" w:rsidRPr="00C35C2B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92,44 баллов</w:t>
            </w:r>
          </w:p>
        </w:tc>
      </w:tr>
      <w:tr w:rsidR="00B216E3" w:rsidRPr="00C35C2B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99,16 баллов</w:t>
            </w:r>
          </w:p>
        </w:tc>
      </w:tr>
      <w:tr w:rsidR="00B216E3" w:rsidRPr="00C35C2B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97,56 баллов</w:t>
            </w:r>
          </w:p>
        </w:tc>
      </w:tr>
      <w:tr w:rsidR="00B216E3" w:rsidRPr="00C35C2B" w:rsidTr="00254AF5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90,71 баллов</w:t>
            </w:r>
          </w:p>
        </w:tc>
      </w:tr>
      <w:tr w:rsidR="00B216E3" w:rsidRPr="00C35C2B" w:rsidTr="00254AF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216E3" w:rsidRPr="00C35C2B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6E3" w:rsidRPr="00C35C2B" w:rsidRDefault="00B216E3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2B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B216E3" w:rsidRPr="00865FD3" w:rsidRDefault="00B216E3" w:rsidP="00AD4978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B216E3" w:rsidRPr="00865FD3" w:rsidRDefault="00B216E3" w:rsidP="00AD4978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865FD3">
        <w:rPr>
          <w:rFonts w:ascii="Times New Roman" w:hAnsi="Times New Roman"/>
          <w:sz w:val="20"/>
          <w:szCs w:val="20"/>
        </w:rPr>
        <w:br w:type="page"/>
      </w:r>
    </w:p>
    <w:p w:rsidR="00B216E3" w:rsidRPr="00AD4978" w:rsidRDefault="00B216E3" w:rsidP="00AD4978"/>
    <w:sectPr w:rsidR="00B216E3" w:rsidRPr="00AD4978" w:rsidSect="00BA2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80C"/>
    <w:rsid w:val="000C65E3"/>
    <w:rsid w:val="000D5E17"/>
    <w:rsid w:val="00254AF5"/>
    <w:rsid w:val="00262A14"/>
    <w:rsid w:val="003B5065"/>
    <w:rsid w:val="004A5D61"/>
    <w:rsid w:val="004C2DC3"/>
    <w:rsid w:val="00557E86"/>
    <w:rsid w:val="005D4BEA"/>
    <w:rsid w:val="006F543F"/>
    <w:rsid w:val="0079680C"/>
    <w:rsid w:val="00803B8F"/>
    <w:rsid w:val="00846516"/>
    <w:rsid w:val="00865FD3"/>
    <w:rsid w:val="00925F88"/>
    <w:rsid w:val="009A7214"/>
    <w:rsid w:val="00A834B8"/>
    <w:rsid w:val="00AD4978"/>
    <w:rsid w:val="00B216E3"/>
    <w:rsid w:val="00BA29D2"/>
    <w:rsid w:val="00BC0683"/>
    <w:rsid w:val="00C35C2B"/>
    <w:rsid w:val="00C551DC"/>
    <w:rsid w:val="00D03B39"/>
    <w:rsid w:val="00D11ADE"/>
    <w:rsid w:val="00D906BB"/>
    <w:rsid w:val="00DF392F"/>
    <w:rsid w:val="00EB73B9"/>
    <w:rsid w:val="00F7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2305</Words>
  <Characters>13142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21</dc:title>
  <dc:subject/>
  <dc:creator>Пользователь</dc:creator>
  <cp:keywords/>
  <dc:description/>
  <cp:lastModifiedBy>tolginna@mail.ru</cp:lastModifiedBy>
  <cp:revision>2</cp:revision>
  <cp:lastPrinted>2020-12-17T07:35:00Z</cp:lastPrinted>
  <dcterms:created xsi:type="dcterms:W3CDTF">2020-12-28T09:25:00Z</dcterms:created>
  <dcterms:modified xsi:type="dcterms:W3CDTF">2020-12-28T09:25:00Z</dcterms:modified>
</cp:coreProperties>
</file>